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CD" w:rsidRPr="009139CD" w:rsidRDefault="009139CD" w:rsidP="009139CD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003366"/>
          <w:sz w:val="23"/>
          <w:szCs w:val="23"/>
        </w:rPr>
      </w:pPr>
      <w:bookmarkStart w:id="0" w:name="_GoBack"/>
      <w:bookmarkEnd w:id="0"/>
      <w:r w:rsidRPr="009139CD">
        <w:rPr>
          <w:rFonts w:ascii="Verdana" w:eastAsia="Times New Roman" w:hAnsi="Verdana" w:cs="Times New Roman"/>
          <w:b/>
          <w:bCs/>
          <w:color w:val="003366"/>
          <w:sz w:val="23"/>
          <w:szCs w:val="23"/>
        </w:rPr>
        <w:t>Ministério da Saúde</w:t>
      </w:r>
      <w:r w:rsidRPr="009139CD">
        <w:rPr>
          <w:rFonts w:ascii="Verdana" w:eastAsia="Times New Roman" w:hAnsi="Verdana" w:cs="Times New Roman"/>
          <w:b/>
          <w:bCs/>
          <w:color w:val="003366"/>
          <w:sz w:val="23"/>
          <w:szCs w:val="23"/>
        </w:rPr>
        <w:br/>
      </w:r>
      <w:r w:rsidRPr="009139CD">
        <w:rPr>
          <w:rFonts w:ascii="Verdana" w:eastAsia="Times New Roman" w:hAnsi="Verdana" w:cs="Times New Roman"/>
          <w:b/>
          <w:bCs/>
          <w:color w:val="003366"/>
          <w:sz w:val="18"/>
        </w:rPr>
        <w:t>Gabinete do Ministro</w:t>
      </w:r>
    </w:p>
    <w:p w:rsidR="009139CD" w:rsidRPr="009139CD" w:rsidRDefault="009139CD" w:rsidP="009139C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3"/>
          <w:szCs w:val="23"/>
        </w:rPr>
      </w:pPr>
      <w:r w:rsidRPr="009139CD">
        <w:rPr>
          <w:rFonts w:ascii="Arial" w:eastAsia="Times New Roman" w:hAnsi="Arial" w:cs="Arial"/>
          <w:b/>
          <w:bCs/>
          <w:caps/>
          <w:color w:val="000000"/>
          <w:kern w:val="36"/>
          <w:sz w:val="23"/>
          <w:szCs w:val="23"/>
        </w:rPr>
        <w:t>PORTARIA Nº 3.176, DE 24 DE DEZEMBRO DE 2008 (*)</w:t>
      </w:r>
    </w:p>
    <w:p w:rsidR="009139CD" w:rsidRPr="009139CD" w:rsidRDefault="009139CD" w:rsidP="009139CD">
      <w:pPr>
        <w:spacing w:before="100" w:beforeAutospacing="1" w:after="450" w:line="240" w:lineRule="auto"/>
        <w:ind w:left="6000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Aprova orientações acerca da elaboração, da aplicação e do fluxo do Relatório Anual de Gestão e quanto a informações sobre o Plano de Saúde.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O MINISTRO DE ESTADO DA SAÚDE, no uso das atribuições que lhe confere o inciso II do parágrafo único do artigo 87 da Constituição, e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 xml:space="preserve">Considerando o inciso XVIII do art. 16 da Lei Nº 8.080, de 19 de setembro de 1990, que atribui ao Ministério da Saúde </w:t>
      </w:r>
      <w:proofErr w:type="gramStart"/>
      <w:r w:rsidRPr="009139CD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9139CD">
        <w:rPr>
          <w:rFonts w:ascii="Arial" w:eastAsia="Times New Roman" w:hAnsi="Arial" w:cs="Arial"/>
          <w:color w:val="000000"/>
          <w:sz w:val="20"/>
          <w:szCs w:val="20"/>
        </w:rPr>
        <w:t xml:space="preserve"> competência de "elaborar o planejamento estratégico nacional no âmbito do SUS em cooperação com os Estados, os Municípios e o Distrito Federal";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 xml:space="preserve">Considerando a Portaria Nº 399/GM, de 23 de fevereiro de 2006, que divulga o Pacto pela Saúde, no qual é definido o Sistema de Planejamento do Sistema Único de Saúde (SUS), seus objetivos e pontos prioritários de </w:t>
      </w:r>
      <w:proofErr w:type="spellStart"/>
      <w:r w:rsidRPr="009139CD">
        <w:rPr>
          <w:rFonts w:ascii="Arial" w:eastAsia="Times New Roman" w:hAnsi="Arial" w:cs="Arial"/>
          <w:color w:val="000000"/>
          <w:sz w:val="20"/>
          <w:szCs w:val="20"/>
        </w:rPr>
        <w:t>pactuação</w:t>
      </w:r>
      <w:proofErr w:type="spellEnd"/>
      <w:r w:rsidRPr="009139CD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 xml:space="preserve">Considerando as Portarias Nº 3.085/GM, de 1º de setembro de 2006, e Nº 3.332/GM, de 28 de dezembro de 2006, que, respectivamente, regulamenta o referido Sistema de Planejamento do SUS e aprova orientações gerais acerca de seus instrumentos básicos; 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Considerando que o Relatório Anual de Gestão é um dos instrumentos básicos do Sistema de Planejamento, ao lado do Plano de Saúde e as respectivas Programações Anuais de Saúde;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Considerando que o Relatório Anual de Gestão, além de ser instrumento de comprovação da execução do Plano de Saúde de cada esfera de gestão do SUS é, também, de acordo com a Lei Nº 8.142, de 28 de dezembro de 1990, instrumento de comprovação da aplicação dos recursos da União repassados a Estados e Municípios;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Considerando que o Relatório Anual de Gestão é também subsídio para as ações de auditoria, fiscalização e controle;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Considerando que a comprovação da aplicação dos recursos repassados do Fundo Nacional de Saúde para os Fundos de Saúde dos Estados, do Distrito Federal e dos Municípios far-se-á, segundo a Portaria Nº 204/GM, de 29 de janeiro de 2007, mediante relatório de gestão;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 xml:space="preserve">Considerando a necessidade de as três esferas de gestão </w:t>
      </w:r>
      <w:proofErr w:type="gramStart"/>
      <w:r w:rsidRPr="009139CD">
        <w:rPr>
          <w:rFonts w:ascii="Arial" w:eastAsia="Times New Roman" w:hAnsi="Arial" w:cs="Arial"/>
          <w:color w:val="000000"/>
          <w:sz w:val="20"/>
          <w:szCs w:val="20"/>
        </w:rPr>
        <w:t>disporem</w:t>
      </w:r>
      <w:proofErr w:type="gramEnd"/>
      <w:r w:rsidRPr="009139CD">
        <w:rPr>
          <w:rFonts w:ascii="Arial" w:eastAsia="Times New Roman" w:hAnsi="Arial" w:cs="Arial"/>
          <w:color w:val="000000"/>
          <w:sz w:val="20"/>
          <w:szCs w:val="20"/>
        </w:rPr>
        <w:t xml:space="preserve"> de orientações que favoreçam a elaboração, a aplicação e o fluxo pertinente dos Relatórios Anuais de Gestão, de modo que sejam efetivamente instrumentos estratégicos na melhoria contínua da capacidade resolutiva do SUS; e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 xml:space="preserve">Considerando a decisão dos gestores do SUS na reunião da Comissão </w:t>
      </w:r>
      <w:proofErr w:type="spellStart"/>
      <w:r w:rsidRPr="009139CD">
        <w:rPr>
          <w:rFonts w:ascii="Arial" w:eastAsia="Times New Roman" w:hAnsi="Arial" w:cs="Arial"/>
          <w:color w:val="000000"/>
          <w:sz w:val="20"/>
          <w:szCs w:val="20"/>
        </w:rPr>
        <w:t>Intergestores</w:t>
      </w:r>
      <w:proofErr w:type="spellEnd"/>
      <w:r w:rsidRPr="009139CD">
        <w:rPr>
          <w:rFonts w:ascii="Arial" w:eastAsia="Times New Roman" w:hAnsi="Arial" w:cs="Arial"/>
          <w:color w:val="000000"/>
          <w:sz w:val="20"/>
          <w:szCs w:val="20"/>
        </w:rPr>
        <w:t xml:space="preserve"> Tripartite (CIT), realizada em 11 de dezembro de 2008, resolve: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Art. 1º Aprovar as orientações relativas ao Relatório Anual de Gestão (RAG), constantes desta Portaria, as quais têm por objetivo subsidiar o processo de elaboração, aplicação e fluxo do RAG.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lastRenderedPageBreak/>
        <w:t>Art. 2º O Plano de Saúde (PS), as respectivas Programações Anuais de Saúde (PAS) e os Relatórios Anuais de Gestão (RAG) estão diretamente relacionados com o exercício da função gestora em cada esfera de governo e com o respectivo Termo de Compromisso de Gestão (TCG).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§ 1º A formulação de qualquer um desses instrumentos básicos referidos no caput deve considerar o conceito e a finalidade de cada um dos instrumentos que, no seu conjunto, concretiza e alimenta o referido processo permanente de planejamento.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§ 2º O PS, elaborado para um período de quatro anos, é o instrumento que, no SUS, norteia todas as medidas e iniciativas em cada esfera de gestão, as quais devem ser expressas nas respectivas PAS.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§ 3º Os TCG devem ser elaborados de acordo com os respectivos Planos de Saúde.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Art. 3º O RAG é o instrumento que apresenta os resultados alcançados com a PAS, a qual operacionaliza o PS na respectiva esfera de gestão e orienta eventuais redirecionamentos. É também instrumento de comprovação da aplicação dos recursos repassados do Fundo Nacional de Saúde para os Fundos de Saúde dos Estados, do Distrito Federal e dos Municípios, cujo resultado demonstra o processo contínuo de planejamento e é instrumento indissociável do PS e das respectivas PAS.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Parágrafo único. O PS, as respectivas PAS e os RAG têm por finalidades, entre outras: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I - apoiar o gestor na condução do SUS no âmbito de sua competência territorial de modo que alcance a efetividade esperada na melhoria dos níveis de saúde da população e no aperfeiçoamento do Sistema;</w:t>
      </w:r>
      <w:r w:rsidRPr="009139CD">
        <w:rPr>
          <w:rFonts w:ascii="Arial" w:eastAsia="Times New Roman" w:hAnsi="Arial" w:cs="Arial"/>
          <w:color w:val="000000"/>
          <w:sz w:val="20"/>
          <w:szCs w:val="20"/>
        </w:rPr>
        <w:br/>
        <w:t>II - possibilitar o provimento dos meios para o aperfeiçoamento contínuo da gestão participativa e das ações e serviços prestados;</w:t>
      </w:r>
      <w:r w:rsidRPr="009139CD">
        <w:rPr>
          <w:rFonts w:ascii="Arial" w:eastAsia="Times New Roman" w:hAnsi="Arial" w:cs="Arial"/>
          <w:color w:val="000000"/>
          <w:sz w:val="20"/>
          <w:szCs w:val="20"/>
        </w:rPr>
        <w:br/>
        <w:t>III - apoiar a participação e o controle sociais; e</w:t>
      </w:r>
      <w:r w:rsidRPr="009139CD">
        <w:rPr>
          <w:rFonts w:ascii="Arial" w:eastAsia="Times New Roman" w:hAnsi="Arial" w:cs="Arial"/>
          <w:color w:val="000000"/>
          <w:sz w:val="20"/>
          <w:szCs w:val="20"/>
        </w:rPr>
        <w:br/>
        <w:t>IV - subsidiar o trabalho, interno e externo, de controle e auditoria.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Art. 4º A elaboração, a aplicação e o encaminhamento dos instrumentos referidos no caput devem considerar: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I - a estrutura da PAS e do RAG decorre do PS, não comportando, portanto, análise situacional;</w:t>
      </w:r>
      <w:r w:rsidRPr="009139CD">
        <w:rPr>
          <w:rFonts w:ascii="Arial" w:eastAsia="Times New Roman" w:hAnsi="Arial" w:cs="Arial"/>
          <w:color w:val="000000"/>
          <w:sz w:val="20"/>
          <w:szCs w:val="20"/>
        </w:rPr>
        <w:br/>
        <w:t>II - o PS orienta a definição do Plano Plurianual (PPA); e</w:t>
      </w:r>
      <w:r w:rsidRPr="009139CD">
        <w:rPr>
          <w:rFonts w:ascii="Arial" w:eastAsia="Times New Roman" w:hAnsi="Arial" w:cs="Arial"/>
          <w:color w:val="000000"/>
          <w:sz w:val="20"/>
          <w:szCs w:val="20"/>
        </w:rPr>
        <w:br/>
        <w:t>III - a PAS e o RAG, como instrumentos anuais, apresentam estruturas semelhantes, sendo o primeiro de caráter propositivo e o segundo, analítico/indicativo.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Art. 5º Considerar como características essenciais do RAG: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I - clareza e objetividade, de modo a contribuir para o exercício da gestão do SUS de forma transparente, participativa e democrática, assim como realimentar o processo de planejamento;</w:t>
      </w:r>
      <w:r w:rsidRPr="009139CD">
        <w:rPr>
          <w:rFonts w:ascii="Arial" w:eastAsia="Times New Roman" w:hAnsi="Arial" w:cs="Arial"/>
          <w:color w:val="000000"/>
          <w:sz w:val="20"/>
          <w:szCs w:val="20"/>
        </w:rPr>
        <w:br/>
        <w:t>II - unidade nos conceitos de seus elementos constituintes; e</w:t>
      </w:r>
      <w:r w:rsidRPr="009139CD">
        <w:rPr>
          <w:rFonts w:ascii="Arial" w:eastAsia="Times New Roman" w:hAnsi="Arial" w:cs="Arial"/>
          <w:color w:val="000000"/>
          <w:sz w:val="20"/>
          <w:szCs w:val="20"/>
        </w:rPr>
        <w:br/>
        <w:t>III - estrutura básica, passível de aplicação pelas três esferas e de adaptações, acréscimos segundo peculiaridades de cada uma.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Art. 6º Determinar como conteúdo do RAG os seguintes elementos constitutivos: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I - os objetivos, as diretrizes e as metas do PS;</w:t>
      </w:r>
      <w:r w:rsidRPr="009139CD">
        <w:rPr>
          <w:rFonts w:ascii="Arial" w:eastAsia="Times New Roman" w:hAnsi="Arial" w:cs="Arial"/>
          <w:color w:val="000000"/>
          <w:sz w:val="20"/>
          <w:szCs w:val="20"/>
        </w:rPr>
        <w:br/>
        <w:t xml:space="preserve">II - as ações e metas anuais definidas e alcançadas na PAS, inclusive as prioridades indicadas no </w:t>
      </w:r>
      <w:proofErr w:type="gramStart"/>
      <w:r w:rsidRPr="009139CD">
        <w:rPr>
          <w:rFonts w:ascii="Arial" w:eastAsia="Times New Roman" w:hAnsi="Arial" w:cs="Arial"/>
          <w:color w:val="000000"/>
          <w:sz w:val="20"/>
          <w:szCs w:val="20"/>
        </w:rPr>
        <w:t>TCG ;</w:t>
      </w:r>
      <w:proofErr w:type="gramEnd"/>
      <w:r w:rsidRPr="009139CD">
        <w:rPr>
          <w:rFonts w:ascii="Arial" w:eastAsia="Times New Roman" w:hAnsi="Arial" w:cs="Arial"/>
          <w:color w:val="000000"/>
          <w:sz w:val="20"/>
          <w:szCs w:val="20"/>
        </w:rPr>
        <w:br/>
        <w:t>III - os recursos orçamentários previstos e executados;</w:t>
      </w:r>
      <w:r w:rsidRPr="009139CD">
        <w:rPr>
          <w:rFonts w:ascii="Arial" w:eastAsia="Times New Roman" w:hAnsi="Arial" w:cs="Arial"/>
          <w:color w:val="000000"/>
          <w:sz w:val="20"/>
          <w:szCs w:val="20"/>
        </w:rPr>
        <w:br/>
        <w:t>IV - as observações específicas relativas às ações programadas;</w:t>
      </w:r>
      <w:r w:rsidRPr="009139CD">
        <w:rPr>
          <w:rFonts w:ascii="Arial" w:eastAsia="Times New Roman" w:hAnsi="Arial" w:cs="Arial"/>
          <w:color w:val="000000"/>
          <w:sz w:val="20"/>
          <w:szCs w:val="20"/>
        </w:rPr>
        <w:br/>
        <w:t xml:space="preserve">V - a análise da execução da PAS, a partir das ações e metas, tanto daquelas </w:t>
      </w:r>
      <w:r w:rsidRPr="009139CD">
        <w:rPr>
          <w:rFonts w:ascii="Arial" w:eastAsia="Times New Roman" w:hAnsi="Arial" w:cs="Arial"/>
          <w:color w:val="000000"/>
          <w:sz w:val="20"/>
          <w:szCs w:val="20"/>
        </w:rPr>
        <w:lastRenderedPageBreak/>
        <w:t>estabelecidas quanto das não previstas; e</w:t>
      </w:r>
      <w:r w:rsidRPr="009139CD">
        <w:rPr>
          <w:rFonts w:ascii="Arial" w:eastAsia="Times New Roman" w:hAnsi="Arial" w:cs="Arial"/>
          <w:color w:val="000000"/>
          <w:sz w:val="20"/>
          <w:szCs w:val="20"/>
        </w:rPr>
        <w:br/>
        <w:t>VI - as recomendações para a PAS do ano seguinte e para eventuais ajustes no PS vigente.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Art. 7º Determinar que o Relatório Anual de Gestão tenha a seguinte estrutura: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I - introdução sucinta, com a apresentação de dados e caracterização da esfera de gestão correspondente, ato ou reunião que aprovou o respectivo PS, e registro de compromissos técnico-políticos necessários, entre os quais o TCG;</w:t>
      </w:r>
      <w:r w:rsidRPr="009139CD">
        <w:rPr>
          <w:rFonts w:ascii="Arial" w:eastAsia="Times New Roman" w:hAnsi="Arial" w:cs="Arial"/>
          <w:color w:val="000000"/>
          <w:sz w:val="20"/>
          <w:szCs w:val="20"/>
        </w:rPr>
        <w:br/>
        <w:t>II - quadro sintético com o demonstrativo do orçamento, a exemplo do que é encaminhado anualmente aos respectivos Tribunais de Contas;</w:t>
      </w:r>
      <w:r w:rsidRPr="009139CD">
        <w:rPr>
          <w:rFonts w:ascii="Arial" w:eastAsia="Times New Roman" w:hAnsi="Arial" w:cs="Arial"/>
          <w:color w:val="000000"/>
          <w:sz w:val="20"/>
          <w:szCs w:val="20"/>
        </w:rPr>
        <w:br/>
        <w:t>III - quadros com os elementos constitutivos do RAG constante do art. 3º, desta Portaria;</w:t>
      </w:r>
      <w:r w:rsidRPr="009139CD">
        <w:rPr>
          <w:rFonts w:ascii="Arial" w:eastAsia="Times New Roman" w:hAnsi="Arial" w:cs="Arial"/>
          <w:color w:val="000000"/>
          <w:sz w:val="20"/>
          <w:szCs w:val="20"/>
        </w:rPr>
        <w:br/>
        <w:t>IV - análise sucinta da execução da PAS feita a partir do conjunto das ações e metas nelas definidas, bem como daquelas não previstas; e</w:t>
      </w:r>
      <w:r w:rsidRPr="009139CD">
        <w:rPr>
          <w:rFonts w:ascii="Arial" w:eastAsia="Times New Roman" w:hAnsi="Arial" w:cs="Arial"/>
          <w:color w:val="000000"/>
          <w:sz w:val="20"/>
          <w:szCs w:val="20"/>
        </w:rPr>
        <w:br/>
        <w:t>V - recomendações, descritas também de forma sintética, as quais podem ser relativas à PAS do ano seguinte e aos ajustes necessários no PS vigente ou ao novo.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Art. 8º Estabelecer o seguinte fluxo para o RAG: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 xml:space="preserve">I - os Municípios encaminharão à Comissão </w:t>
      </w:r>
      <w:proofErr w:type="spellStart"/>
      <w:r w:rsidRPr="009139CD">
        <w:rPr>
          <w:rFonts w:ascii="Arial" w:eastAsia="Times New Roman" w:hAnsi="Arial" w:cs="Arial"/>
          <w:color w:val="000000"/>
          <w:sz w:val="20"/>
          <w:szCs w:val="20"/>
        </w:rPr>
        <w:t>Intergestores</w:t>
      </w:r>
      <w:proofErr w:type="spellEnd"/>
      <w:r w:rsidRPr="009139C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139CD">
        <w:rPr>
          <w:rFonts w:ascii="Arial" w:eastAsia="Times New Roman" w:hAnsi="Arial" w:cs="Arial"/>
          <w:color w:val="000000"/>
          <w:sz w:val="20"/>
          <w:szCs w:val="20"/>
        </w:rPr>
        <w:t>Bipartite</w:t>
      </w:r>
      <w:proofErr w:type="spellEnd"/>
      <w:r w:rsidRPr="009139CD">
        <w:rPr>
          <w:rFonts w:ascii="Arial" w:eastAsia="Times New Roman" w:hAnsi="Arial" w:cs="Arial"/>
          <w:color w:val="000000"/>
          <w:sz w:val="20"/>
          <w:szCs w:val="20"/>
        </w:rPr>
        <w:t xml:space="preserve"> (CIB), para conhecimento, até o dia 31 de maio de cada ano, a resolução do respectivo Conselho de Saúde (CS) que aprova o RAG, assim como informação quanto ao PMS que, se aprovado, a data de sua aprovação, e se está em apreciação pelo CMS, data de seu encaminhamento;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II - os Municípios deverão encaminhar à CIB, para conhecimento, quando o processo de apreciação e aprovação do RAG pelo CS ultrapassar o referido prazo, ata da reunião do Conselho que formalize esta situação, informando também acerca do PMS que, se aprovado, a data de sua aprovação, e se está em apreciação pelo CMS, data de seu encaminhamento;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 xml:space="preserve">III - a União, os Estados e o Distrito Federal, após apreciação e aprovação do RAG no respectivo CS, encaminharão à Comissão </w:t>
      </w:r>
      <w:proofErr w:type="spellStart"/>
      <w:r w:rsidRPr="009139CD">
        <w:rPr>
          <w:rFonts w:ascii="Arial" w:eastAsia="Times New Roman" w:hAnsi="Arial" w:cs="Arial"/>
          <w:color w:val="000000"/>
          <w:sz w:val="20"/>
          <w:szCs w:val="20"/>
        </w:rPr>
        <w:t>Intergestores</w:t>
      </w:r>
      <w:proofErr w:type="spellEnd"/>
      <w:r w:rsidRPr="009139CD">
        <w:rPr>
          <w:rFonts w:ascii="Arial" w:eastAsia="Times New Roman" w:hAnsi="Arial" w:cs="Arial"/>
          <w:color w:val="000000"/>
          <w:sz w:val="20"/>
          <w:szCs w:val="20"/>
        </w:rPr>
        <w:t xml:space="preserve"> Tripartite (CIT), até o dia 31 de maio de cada ano, a resolução que aprova o respectivo RAG;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IV - as CIB consolidarão as resoluções relativas aos RAG municipais e as informações acerca dos respectivos PMS, em formulário específico, conforme modelo constante do Anexo a esta Portaria, encaminhando-o à CIT até o dia 30 de junho de cada ano;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V - as CIB deverão atualizar mensalmente e encaminhar à CIT as informações sobre os Municípios que aprovarem o seu PMS e o RAG nos respectivos CS; e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VI - a CIT deverá consolidar as informações recebidas das CIB e enviá-las às áreas de controle, avaliação, monitoramento e auditoria do Ministério da Saúde.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Art. 9º Estabelecer que a União, os Estados, o Distrito Federal e os Municípios devam enviar os seus RAG aos respectivos Tribunais de Contas, e guardá-los pelo prazo estabelecido na legislação em vigor.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Parágrafo único. O RAG deve estar disponível, sempre que necessário, para o desenvolvimento dos processos de monitoramento, avaliação e auditoria.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Art. 10. Esta Portaria entra em vigor na data de sua publicação.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lastRenderedPageBreak/>
        <w:t>Art. 11. Fica revogada a Portaria Nº 1.229, de 24 de maio de 2007, publicada no Diário Oficial da União Nº 100, de 25 de maio de 2007, Seção 1, página 45.</w:t>
      </w:r>
    </w:p>
    <w:p w:rsidR="009139CD" w:rsidRPr="009139CD" w:rsidRDefault="009139CD" w:rsidP="009139C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9139CD">
        <w:rPr>
          <w:rFonts w:ascii="Arial" w:eastAsia="Times New Roman" w:hAnsi="Arial" w:cs="Arial"/>
          <w:b/>
          <w:bCs/>
          <w:color w:val="000000"/>
          <w:sz w:val="21"/>
          <w:szCs w:val="21"/>
        </w:rPr>
        <w:t>JOSÉ GOMES TEMPORÃO</w:t>
      </w:r>
    </w:p>
    <w:p w:rsidR="009139CD" w:rsidRPr="009139CD" w:rsidRDefault="009139CD" w:rsidP="009139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ANEXO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 xml:space="preserve">Modelo de formulário de informe das Comissões </w:t>
      </w:r>
      <w:proofErr w:type="spellStart"/>
      <w:r w:rsidRPr="009139CD">
        <w:rPr>
          <w:rFonts w:ascii="Arial" w:eastAsia="Times New Roman" w:hAnsi="Arial" w:cs="Arial"/>
          <w:color w:val="000000"/>
          <w:sz w:val="20"/>
          <w:szCs w:val="20"/>
        </w:rPr>
        <w:t>Intergestores</w:t>
      </w:r>
      <w:proofErr w:type="spellEnd"/>
      <w:r w:rsidRPr="009139C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139CD">
        <w:rPr>
          <w:rFonts w:ascii="Arial" w:eastAsia="Times New Roman" w:hAnsi="Arial" w:cs="Arial"/>
          <w:color w:val="000000"/>
          <w:sz w:val="20"/>
          <w:szCs w:val="20"/>
        </w:rPr>
        <w:t>Bipartite</w:t>
      </w:r>
      <w:proofErr w:type="spellEnd"/>
      <w:r w:rsidRPr="009139CD">
        <w:rPr>
          <w:rFonts w:ascii="Arial" w:eastAsia="Times New Roman" w:hAnsi="Arial" w:cs="Arial"/>
          <w:color w:val="000000"/>
          <w:sz w:val="20"/>
          <w:szCs w:val="20"/>
        </w:rPr>
        <w:t xml:space="preserve"> (CIB) à Comissão </w:t>
      </w:r>
      <w:proofErr w:type="spellStart"/>
      <w:r w:rsidRPr="009139CD">
        <w:rPr>
          <w:rFonts w:ascii="Arial" w:eastAsia="Times New Roman" w:hAnsi="Arial" w:cs="Arial"/>
          <w:color w:val="000000"/>
          <w:sz w:val="20"/>
          <w:szCs w:val="20"/>
        </w:rPr>
        <w:t>Intergestores</w:t>
      </w:r>
      <w:proofErr w:type="spellEnd"/>
      <w:r w:rsidRPr="009139CD">
        <w:rPr>
          <w:rFonts w:ascii="Arial" w:eastAsia="Times New Roman" w:hAnsi="Arial" w:cs="Arial"/>
          <w:color w:val="000000"/>
          <w:sz w:val="20"/>
          <w:szCs w:val="20"/>
        </w:rPr>
        <w:t xml:space="preserve"> Tripartite (CIT) referente aos Planos Municipais de Saúde e aos Relatórios Anuais de Gestão Municipais.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 xml:space="preserve">ESTADO: </w:t>
      </w:r>
      <w:proofErr w:type="gramStart"/>
      <w:r w:rsidRPr="009139C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</w:t>
      </w:r>
      <w:proofErr w:type="gramEnd"/>
      <w:r w:rsidRPr="009139CD">
        <w:rPr>
          <w:rFonts w:ascii="Arial" w:eastAsia="Times New Roman" w:hAnsi="Arial" w:cs="Arial"/>
          <w:color w:val="000000"/>
          <w:sz w:val="20"/>
          <w:szCs w:val="20"/>
        </w:rPr>
        <w:t xml:space="preserve"> Código IBGE:</w:t>
      </w:r>
    </w:p>
    <w:tbl>
      <w:tblPr>
        <w:tblW w:w="0" w:type="auto"/>
        <w:jc w:val="center"/>
        <w:tblInd w:w="1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5"/>
        <w:gridCol w:w="1551"/>
        <w:gridCol w:w="2327"/>
        <w:gridCol w:w="2445"/>
        <w:gridCol w:w="1266"/>
      </w:tblGrid>
      <w:tr w:rsidR="009139CD" w:rsidRPr="009139CD" w:rsidTr="009139CD">
        <w:trPr>
          <w:trHeight w:val="270"/>
          <w:jc w:val="center"/>
        </w:trPr>
        <w:tc>
          <w:tcPr>
            <w:tcW w:w="10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9CD" w:rsidRPr="009139CD" w:rsidRDefault="009139CD" w:rsidP="00913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3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Município </w:t>
            </w:r>
          </w:p>
        </w:tc>
        <w:tc>
          <w:tcPr>
            <w:tcW w:w="1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9CD" w:rsidRPr="009139CD" w:rsidRDefault="009139CD" w:rsidP="00913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3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Plano Municipal de </w:t>
            </w:r>
            <w:proofErr w:type="gramStart"/>
            <w:r w:rsidRPr="00913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Saúde(</w:t>
            </w:r>
            <w:proofErr w:type="gramEnd"/>
            <w:r w:rsidRPr="00913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*) (PMS) </w:t>
            </w:r>
          </w:p>
        </w:tc>
        <w:tc>
          <w:tcPr>
            <w:tcW w:w="26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9CD" w:rsidRPr="009139CD" w:rsidRDefault="009139CD" w:rsidP="00913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3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Relatório Anual de Gestão apreciado e aprovado pelo Conselho Municipal de Saúde (CMS) </w:t>
            </w:r>
          </w:p>
        </w:tc>
        <w:tc>
          <w:tcPr>
            <w:tcW w:w="27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9CD" w:rsidRPr="009139CD" w:rsidRDefault="009139CD" w:rsidP="00913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3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Relatório Anual de Gestão em análise pelo Conselho Municipal de Saúde (CMS) </w:t>
            </w:r>
          </w:p>
        </w:tc>
        <w:tc>
          <w:tcPr>
            <w:tcW w:w="13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9CD" w:rsidRPr="009139CD" w:rsidRDefault="009139CD" w:rsidP="00913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39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Sem informação </w:t>
            </w:r>
          </w:p>
        </w:tc>
      </w:tr>
      <w:tr w:rsidR="009139CD" w:rsidRPr="009139CD" w:rsidTr="009139CD">
        <w:trPr>
          <w:trHeight w:val="135"/>
          <w:jc w:val="center"/>
        </w:trPr>
        <w:tc>
          <w:tcPr>
            <w:tcW w:w="10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9CD" w:rsidRPr="009139CD" w:rsidRDefault="009139CD" w:rsidP="00913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9CD" w:rsidRPr="009139CD" w:rsidRDefault="009139CD" w:rsidP="00913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9CD" w:rsidRPr="009139CD" w:rsidRDefault="009139CD" w:rsidP="00913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9CD" w:rsidRPr="009139CD" w:rsidRDefault="009139CD" w:rsidP="00913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9CD" w:rsidRPr="009139CD" w:rsidRDefault="009139CD" w:rsidP="00913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</w:rPr>
            </w:pPr>
          </w:p>
        </w:tc>
      </w:tr>
      <w:tr w:rsidR="009139CD" w:rsidRPr="009139CD" w:rsidTr="009139CD">
        <w:trPr>
          <w:trHeight w:val="135"/>
          <w:jc w:val="center"/>
        </w:trPr>
        <w:tc>
          <w:tcPr>
            <w:tcW w:w="10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9CD" w:rsidRPr="009139CD" w:rsidRDefault="009139CD" w:rsidP="00913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9CD" w:rsidRPr="009139CD" w:rsidRDefault="009139CD" w:rsidP="00913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9CD" w:rsidRPr="009139CD" w:rsidRDefault="009139CD" w:rsidP="00913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27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9CD" w:rsidRPr="009139CD" w:rsidRDefault="009139CD" w:rsidP="00913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9CD" w:rsidRPr="009139CD" w:rsidRDefault="009139CD" w:rsidP="00913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</w:rPr>
            </w:pPr>
          </w:p>
        </w:tc>
      </w:tr>
    </w:tbl>
    <w:p w:rsidR="009139CD" w:rsidRPr="009139CD" w:rsidRDefault="009139CD" w:rsidP="009139CD">
      <w:pPr>
        <w:spacing w:before="100" w:beforeAutospacing="1" w:after="100" w:afterAutospacing="1" w:line="240" w:lineRule="auto"/>
        <w:ind w:left="90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>(*) Preencher, conforme a seguinte legenda:</w:t>
      </w:r>
      <w:r w:rsidRPr="009139CD">
        <w:rPr>
          <w:rFonts w:ascii="Arial" w:eastAsia="Times New Roman" w:hAnsi="Arial" w:cs="Arial"/>
          <w:color w:val="000000"/>
          <w:sz w:val="20"/>
          <w:szCs w:val="20"/>
        </w:rPr>
        <w:br/>
        <w:t>PMS apreciado e aprovado pelo Conselho Municipal de Saúde - 1</w:t>
      </w:r>
      <w:r w:rsidRPr="009139CD">
        <w:rPr>
          <w:rFonts w:ascii="Arial" w:eastAsia="Times New Roman" w:hAnsi="Arial" w:cs="Arial"/>
          <w:color w:val="000000"/>
          <w:sz w:val="20"/>
          <w:szCs w:val="20"/>
        </w:rPr>
        <w:br/>
        <w:t>PMS em análise pelo Conselho Municipal de Saúde - 2</w:t>
      </w:r>
      <w:r w:rsidRPr="009139CD">
        <w:rPr>
          <w:rFonts w:ascii="Arial" w:eastAsia="Times New Roman" w:hAnsi="Arial" w:cs="Arial"/>
          <w:color w:val="000000"/>
          <w:sz w:val="20"/>
          <w:szCs w:val="20"/>
        </w:rPr>
        <w:br/>
        <w:t>Local e data:</w:t>
      </w:r>
      <w:r w:rsidRPr="009139CD">
        <w:rPr>
          <w:rFonts w:ascii="Arial" w:eastAsia="Times New Roman" w:hAnsi="Arial" w:cs="Arial"/>
          <w:color w:val="000000"/>
          <w:sz w:val="20"/>
          <w:szCs w:val="20"/>
        </w:rPr>
        <w:br/>
        <w:t>Assinatura do coordenador da CIB:</w:t>
      </w:r>
      <w:r w:rsidRPr="009139CD">
        <w:rPr>
          <w:rFonts w:ascii="Arial" w:eastAsia="Times New Roman" w:hAnsi="Arial" w:cs="Arial"/>
          <w:color w:val="000000"/>
          <w:sz w:val="20"/>
          <w:szCs w:val="20"/>
        </w:rPr>
        <w:br/>
        <w:t xml:space="preserve">Assinatura do Presidente do </w:t>
      </w:r>
      <w:proofErr w:type="spellStart"/>
      <w:r w:rsidRPr="009139CD">
        <w:rPr>
          <w:rFonts w:ascii="Arial" w:eastAsia="Times New Roman" w:hAnsi="Arial" w:cs="Arial"/>
          <w:color w:val="000000"/>
          <w:sz w:val="20"/>
          <w:szCs w:val="20"/>
        </w:rPr>
        <w:t>Cosems</w:t>
      </w:r>
      <w:proofErr w:type="spellEnd"/>
      <w:r w:rsidRPr="009139C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9139CD" w:rsidRPr="009139CD" w:rsidRDefault="009139CD" w:rsidP="009139CD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139CD">
        <w:rPr>
          <w:rFonts w:ascii="Arial" w:eastAsia="Times New Roman" w:hAnsi="Arial" w:cs="Arial"/>
          <w:color w:val="000000"/>
          <w:sz w:val="20"/>
          <w:szCs w:val="20"/>
        </w:rPr>
        <w:t xml:space="preserve">(*) Republicada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no DOU, Seção 1, de 11.01.2010, </w:t>
      </w:r>
      <w:r w:rsidRPr="009139CD">
        <w:rPr>
          <w:rFonts w:ascii="Arial" w:eastAsia="Times New Roman" w:hAnsi="Arial" w:cs="Arial"/>
          <w:color w:val="000000"/>
          <w:sz w:val="20"/>
          <w:szCs w:val="20"/>
        </w:rPr>
        <w:t xml:space="preserve">por ter saído no DOU Nº 253, de 30-12-2008, seção 1, </w:t>
      </w:r>
      <w:proofErr w:type="spellStart"/>
      <w:r w:rsidRPr="009139CD">
        <w:rPr>
          <w:rFonts w:ascii="Arial" w:eastAsia="Times New Roman" w:hAnsi="Arial" w:cs="Arial"/>
          <w:color w:val="000000"/>
          <w:sz w:val="20"/>
          <w:szCs w:val="20"/>
        </w:rPr>
        <w:t>pág</w:t>
      </w:r>
      <w:proofErr w:type="spellEnd"/>
      <w:r w:rsidRPr="009139CD">
        <w:rPr>
          <w:rFonts w:ascii="Arial" w:eastAsia="Times New Roman" w:hAnsi="Arial" w:cs="Arial"/>
          <w:color w:val="000000"/>
          <w:sz w:val="20"/>
          <w:szCs w:val="20"/>
        </w:rPr>
        <w:t xml:space="preserve"> 70, com incorreção no original.</w:t>
      </w:r>
    </w:p>
    <w:p w:rsidR="008462CC" w:rsidRDefault="008462CC"/>
    <w:sectPr w:rsidR="008462CC" w:rsidSect="008462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CD"/>
    <w:rsid w:val="006E4E2F"/>
    <w:rsid w:val="007610F0"/>
    <w:rsid w:val="008462CC"/>
    <w:rsid w:val="009139CD"/>
    <w:rsid w:val="009A7807"/>
    <w:rsid w:val="00ED589D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139CD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aps/>
      <w:color w:val="000000"/>
      <w:kern w:val="36"/>
      <w:sz w:val="23"/>
      <w:szCs w:val="23"/>
    </w:rPr>
  </w:style>
  <w:style w:type="paragraph" w:styleId="Ttulo2">
    <w:name w:val="heading 2"/>
    <w:basedOn w:val="Normal"/>
    <w:link w:val="Ttulo2Char"/>
    <w:uiPriority w:val="9"/>
    <w:qFormat/>
    <w:rsid w:val="009139CD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39CD"/>
    <w:rPr>
      <w:rFonts w:ascii="Arial" w:eastAsia="Times New Roman" w:hAnsi="Arial" w:cs="Arial"/>
      <w:b/>
      <w:bCs/>
      <w:caps/>
      <w:color w:val="000000"/>
      <w:kern w:val="36"/>
      <w:sz w:val="23"/>
      <w:szCs w:val="23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139CD"/>
    <w:rPr>
      <w:rFonts w:ascii="Arial" w:eastAsia="Times New Roman" w:hAnsi="Arial" w:cs="Arial"/>
      <w:b/>
      <w:bCs/>
      <w:color w:val="000000"/>
      <w:sz w:val="21"/>
      <w:szCs w:val="21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139CD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extocenter">
    <w:name w:val="texto_center"/>
    <w:basedOn w:val="Normal"/>
    <w:rsid w:val="009139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alineas">
    <w:name w:val="alineas"/>
    <w:basedOn w:val="Normal"/>
    <w:rsid w:val="009139CD"/>
    <w:pPr>
      <w:spacing w:before="100" w:beforeAutospacing="1" w:after="100" w:afterAutospacing="1" w:line="240" w:lineRule="auto"/>
      <w:ind w:left="75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ementa">
    <w:name w:val="ementa"/>
    <w:basedOn w:val="Normal"/>
    <w:rsid w:val="009139CD"/>
    <w:pPr>
      <w:spacing w:before="100" w:beforeAutospacing="1" w:after="450" w:line="240" w:lineRule="auto"/>
      <w:ind w:left="5850"/>
      <w:jc w:val="both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character" w:customStyle="1" w:styleId="legendab1">
    <w:name w:val="legendab1"/>
    <w:basedOn w:val="Fontepargpadro"/>
    <w:rsid w:val="009139CD"/>
    <w:rPr>
      <w:rFonts w:ascii="Verdana" w:hAnsi="Verdana" w:hint="default"/>
      <w:color w:val="00336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139CD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b/>
      <w:bCs/>
      <w:caps/>
      <w:color w:val="000000"/>
      <w:kern w:val="36"/>
      <w:sz w:val="23"/>
      <w:szCs w:val="23"/>
    </w:rPr>
  </w:style>
  <w:style w:type="paragraph" w:styleId="Ttulo2">
    <w:name w:val="heading 2"/>
    <w:basedOn w:val="Normal"/>
    <w:link w:val="Ttulo2Char"/>
    <w:uiPriority w:val="9"/>
    <w:qFormat/>
    <w:rsid w:val="009139CD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color w:val="000000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39CD"/>
    <w:rPr>
      <w:rFonts w:ascii="Arial" w:eastAsia="Times New Roman" w:hAnsi="Arial" w:cs="Arial"/>
      <w:b/>
      <w:bCs/>
      <w:caps/>
      <w:color w:val="000000"/>
      <w:kern w:val="36"/>
      <w:sz w:val="23"/>
      <w:szCs w:val="23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139CD"/>
    <w:rPr>
      <w:rFonts w:ascii="Arial" w:eastAsia="Times New Roman" w:hAnsi="Arial" w:cs="Arial"/>
      <w:b/>
      <w:bCs/>
      <w:color w:val="000000"/>
      <w:sz w:val="21"/>
      <w:szCs w:val="21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139CD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extocenter">
    <w:name w:val="texto_center"/>
    <w:basedOn w:val="Normal"/>
    <w:rsid w:val="009139C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alineas">
    <w:name w:val="alineas"/>
    <w:basedOn w:val="Normal"/>
    <w:rsid w:val="009139CD"/>
    <w:pPr>
      <w:spacing w:before="100" w:beforeAutospacing="1" w:after="100" w:afterAutospacing="1" w:line="240" w:lineRule="auto"/>
      <w:ind w:left="75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ementa">
    <w:name w:val="ementa"/>
    <w:basedOn w:val="Normal"/>
    <w:rsid w:val="009139CD"/>
    <w:pPr>
      <w:spacing w:before="100" w:beforeAutospacing="1" w:after="450" w:line="240" w:lineRule="auto"/>
      <w:ind w:left="5850"/>
      <w:jc w:val="both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character" w:customStyle="1" w:styleId="legendab1">
    <w:name w:val="legendab1"/>
    <w:basedOn w:val="Fontepargpadro"/>
    <w:rsid w:val="009139CD"/>
    <w:rPr>
      <w:rFonts w:ascii="Verdana" w:hAnsi="Verdana" w:hint="default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6826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6424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</dc:creator>
  <cp:lastModifiedBy>LAERCIO</cp:lastModifiedBy>
  <cp:revision>2</cp:revision>
  <cp:lastPrinted>2011-01-06T08:46:00Z</cp:lastPrinted>
  <dcterms:created xsi:type="dcterms:W3CDTF">2013-07-15T00:09:00Z</dcterms:created>
  <dcterms:modified xsi:type="dcterms:W3CDTF">2013-07-15T00:09:00Z</dcterms:modified>
</cp:coreProperties>
</file>